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jc w:val="center"/>
      </w:pPr>
      <w:r>
        <w:rPr>
          <w:b/>
          <w:sz w:val="36"/>
        </w:rPr>
        <w:t>Supplementary Materials</w:t>
      </w:r>
    </w:p>
    <w:p>
      <w:pPr>
        <w:jc w:val="center"/>
      </w:pPr>
      <w:r>
        <w:rPr>
          <w:sz w:val="26"/>
        </w:rPr>
        <w:t>for “Thermodynamic Advantage of Transient Wave Dynamics in Hierarchical Decision Architectures”</w:t>
      </w:r>
    </w:p>
    <w:p>
      <w:pPr>
        <w:jc w:val="center"/>
      </w:pPr>
      <w:r>
        <w:rPr>
          <w:sz w:val="22"/>
        </w:rPr>
        <w:t>Oleg Dolgikh  •  Draft v1  •  2026-01-29</w:t>
      </w:r>
    </w:p>
    <w:p>
      <w:r>
        <w:rPr>
          <w:b w:val="0"/>
          <w:i/>
        </w:rPr>
        <w:t>Working draft. Sections and numbering may shift in revision; all metrics/definitions are stable.</w:t>
      </w:r>
    </w:p>
    <w:p>
      <w:pPr>
        <w:pStyle w:val="Heading1"/>
      </w:pPr>
      <w:r>
        <w:t>Contents</w:t>
      </w:r>
    </w:p>
    <w:p>
      <w:r>
        <w:t>Supplementary Methods</w:t>
      </w:r>
    </w:p>
    <w:p>
      <w:r>
        <w:t xml:space="preserve">  S1. Mathematical specification of CRN</w:t>
      </w:r>
    </w:p>
    <w:p>
      <w:r>
        <w:t xml:space="preserve">  S2. Datasets and graph construction</w:t>
      </w:r>
    </w:p>
    <w:p>
      <w:r>
        <w:t xml:space="preserve">  S3. Simulation protocol and metrics</w:t>
      </w:r>
    </w:p>
    <w:p>
      <w:r>
        <w:t xml:space="preserve">  S4. Baselines and negative controls</w:t>
      </w:r>
    </w:p>
    <w:p>
      <w:r>
        <w:t xml:space="preserve">  S5. Statistical analysis</w:t>
      </w:r>
    </w:p>
    <w:p>
      <w:r>
        <w:t>Supplementary Results</w:t>
      </w:r>
    </w:p>
    <w:p>
      <w:r>
        <w:t xml:space="preserve">  S6. Universal DES across scales (conceptual figures)</w:t>
      </w:r>
    </w:p>
    <w:p>
      <w:r>
        <w:t xml:space="preserve">  S7. Drosophila larva connectome benchmark (A7)</w:t>
      </w:r>
    </w:p>
    <w:p>
      <w:r>
        <w:t xml:space="preserve">  S8. Localization diagnostics (A8.4)</w:t>
      </w:r>
    </w:p>
    <w:p>
      <w:r>
        <w:t xml:space="preserve">  S9. Architecture dependence and negative controls (A8.5–A8.6)</w:t>
      </w:r>
    </w:p>
    <w:p>
      <w:r>
        <w:t xml:space="preserve">  S10. Mouse cortical proxy: energy–selectivity trade-off (Steps 2–5)</w:t>
      </w:r>
    </w:p>
    <w:p>
      <w:r>
        <w:t>Supplementary References</w:t>
      </w:r>
    </w:p>
    <w:p>
      <w:r>
        <w:br w:type="page"/>
      </w:r>
    </w:p>
    <w:p>
      <w:pPr>
        <w:pStyle w:val="Heading1"/>
      </w:pPr>
      <w:r>
        <w:t>Supplementary Methods</w:t>
      </w:r>
    </w:p>
    <w:p>
      <w:pPr>
        <w:pStyle w:val="Heading2"/>
      </w:pPr>
      <w:r>
        <w:t>S1. Mathematical specification of CRN</w:t>
      </w:r>
    </w:p>
    <w:p>
      <w:r>
        <w:rPr>
          <w:b w:val="0"/>
          <w:i w:val="0"/>
        </w:rPr>
        <w:t>CRN (Coherent Resonant Netting) is defined as a two-stage decision architecture. Stage‑I performs a low‑amplitude, wave‑like exploration that prunes a hypothesis space at low marginal cost, and Stage‑II corresponds to a high‑gain commitment/readout mechanism (e.g., spiking fixation) that acts on the pruned set. In this Supplementary Materials we formalize Stage‑I as an open-system wave proxy and evaluate its functional outputs via absorption into Target vs Distractor sinks.</w:t>
      </w:r>
    </w:p>
    <w:p>
      <w:pPr>
        <w:pStyle w:val="Heading3"/>
      </w:pPr>
      <w:r>
        <w:t>S1.1 Graph and state space</w:t>
      </w:r>
    </w:p>
    <w:p>
      <w:r>
        <w:rPr>
          <w:b w:val="0"/>
          <w:i w:val="0"/>
        </w:rPr>
        <w:t>Let G=(V,E) be a directed graph with |V|=N nodes and weighted edges w_{ij}≥0. Stage‑I dynamics are represented by a density matrix ρ(t) on an N‑dimensional state space {|i⟩}. The diagonal ρ_{ii}(t) is interpreted as node occupancy probability (population proxy).</w:t>
      </w:r>
    </w:p>
    <w:p>
      <w:r>
        <w:rPr>
          <w:b w:val="0"/>
          <w:i w:val="0"/>
        </w:rPr>
        <w:t>Baseline Hamiltonian from a symmetrized weighted Laplacian:</w:t>
      </w:r>
    </w:p>
    <w:p>
      <w:r>
        <w:rPr>
          <w:rFonts w:ascii="Consolas" w:hAnsi="Consolas"/>
          <w:sz w:val="20"/>
        </w:rPr>
        <w:t>H0 = -γ · L_sym,   where   L_sym = D_sym - W_sym,   W_sym = (W + Wᵀ)/2.</w:t>
      </w:r>
    </w:p>
    <w:p>
      <w:pPr>
        <w:pStyle w:val="Heading3"/>
      </w:pPr>
      <w:r>
        <w:t>S1.2 Open-system dynamics (GKSL proxy)</w:t>
      </w:r>
    </w:p>
    <w:p>
      <w:r>
        <w:rPr>
          <w:b w:val="0"/>
          <w:i w:val="0"/>
        </w:rPr>
        <w:t>Stage‑I is modeled with the GKSL master equation with dephasing and absorbing sinks. GKSL is used as a functional proxy for transient wave dynamics with tunable decoherence/measurement, not as a claim of microscopic quantum coherence in neural tissue.</w:t>
      </w:r>
    </w:p>
    <w:p>
      <w:r>
        <w:rPr>
          <w:rFonts w:ascii="Consolas" w:hAnsi="Consolas"/>
          <w:sz w:val="20"/>
        </w:rPr>
        <w:t>dρ/dt = -i [H, ρ]  +  κ · Σ_k (|k⟩⟨k| ρ |k⟩⟨k|  - ½ { |k⟩⟨k|, ρ})  +  Σ_{s∈S} η_s · (J_s ρ J_s† - ½ {J_s† J_s, ρ }).</w:t>
      </w:r>
    </w:p>
    <w:p>
      <w:r>
        <w:rPr>
          <w:b w:val="0"/>
          <w:i w:val="0"/>
        </w:rPr>
        <w:t>κ controls the coherence–measurement balance (κ→0: coherent exploration; κ≫1: Zeno-like classicalization). Sinks are implemented by jump operators J_s that remove population from designated nodes into external accumulators (Target vs Distractor).</w:t>
      </w:r>
    </w:p>
    <w:p>
      <w:pPr>
        <w:pStyle w:val="Heading3"/>
      </w:pPr>
      <w:r>
        <w:t>S1.3 Disorder parameter ε</w:t>
      </w:r>
    </w:p>
    <w:p>
      <w:r>
        <w:rPr>
          <w:b w:val="0"/>
          <w:i w:val="0"/>
        </w:rPr>
        <w:t>Energetic heterogeneity is modeled as diagonal disorder:</w:t>
      </w:r>
    </w:p>
    <w:p>
      <w:r>
        <w:rPr>
          <w:rFonts w:ascii="Consolas" w:hAnsi="Consolas"/>
          <w:sz w:val="20"/>
        </w:rPr>
        <w:t>H = H0 + diag(E),   with   E_i ~ Uniform[-ε, +ε].</w:t>
      </w:r>
    </w:p>
    <w:p>
      <w:pPr>
        <w:pStyle w:val="Heading3"/>
      </w:pPr>
      <w:r>
        <w:t>S1.4 Metrics</w:t>
      </w:r>
    </w:p>
    <w:p>
      <w:r>
        <w:rPr>
          <w:b w:val="0"/>
          <w:i w:val="0"/>
        </w:rPr>
        <w:t>At T_end we report sink absorption probabilities P_T (Target) and P_D (Distractor), and define:</w:t>
      </w:r>
    </w:p>
    <w:p>
      <w:r>
        <w:rPr>
          <w:rFonts w:ascii="Consolas" w:hAnsi="Consolas"/>
          <w:sz w:val="20"/>
        </w:rPr>
        <w:t>Selectivity_end = P_T / (P_D + δ),   coverage_end = P_T + P_D.</w:t>
      </w:r>
    </w:p>
    <w:p>
      <w:r>
        <w:rPr>
          <w:rFonts w:ascii="Consolas" w:hAnsi="Consolas"/>
          <w:sz w:val="20"/>
        </w:rPr>
        <w:t>Utility(λ) = P_T − λ·P_D,   InfoPerCost = Utility(λ) / (coverage_end + χ).</w:t>
      </w:r>
    </w:p>
    <w:p>
      <w:r>
        <w:rPr>
          <w:rFonts w:ascii="Consolas" w:hAnsi="Consolas"/>
          <w:sz w:val="20"/>
        </w:rPr>
        <w:t>P_good = Pr(Selectivity_end &gt; θ | P_T &gt; pT_min).</w:t>
      </w:r>
    </w:p>
    <w:p>
      <w:r>
        <w:rPr>
          <w:b w:val="0"/>
          <w:i/>
        </w:rPr>
        <w:t>Unless stated otherwise: λ=1, χ=0.01, θ=2.0, pT_min=0.005.</w:t>
      </w:r>
    </w:p>
    <w:p>
      <w:pPr>
        <w:pStyle w:val="Heading2"/>
      </w:pPr>
      <w:r>
        <w:t>S2. Datasets and graph construction</w:t>
      </w:r>
    </w:p>
    <w:p>
      <w:pPr>
        <w:pStyle w:val="Heading3"/>
      </w:pPr>
      <w:r>
        <w:t>S2.1 C. elegans touch circuit</w:t>
      </w:r>
    </w:p>
    <w:p>
      <w:r>
        <w:rPr>
          <w:b w:val="0"/>
          <w:i w:val="0"/>
        </w:rPr>
        <w:t>A small C. elegans subcircuit (touch → interneurons → motor outputs) derived from Varshney et al. is used as a minimal connectome benchmark. Nodes are grouped into sensory sources, target motor outputs, and distractor outputs. The task is formulated as absorption into target vs distractor sinks.</w:t>
      </w:r>
    </w:p>
    <w:p>
      <w:pPr>
        <w:pStyle w:val="Heading3"/>
      </w:pPr>
      <w:r>
        <w:t>S2.2 Drosophila larva mushroom body (Winding et al. 2023)</w:t>
      </w:r>
    </w:p>
    <w:p>
      <w:r>
        <w:rPr>
          <w:b w:val="0"/>
          <w:i w:val="0"/>
        </w:rPr>
        <w:t>A directed weighted graph is built from the larval Drosophila connectome (Winding et al., Science 2023). We extract an MB-centered subgraph and an active subgraph connecting selected PN sources to MBON sinks.</w:t>
      </w:r>
    </w:p>
    <w:p>
      <w:r>
        <w:rPr>
          <w:b/>
        </w:rPr>
        <w:t>Table S1. Drosophila graph sizes used in Bridge‑A.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rPr>
                <w:sz w:val="18"/>
              </w:rPr>
              <w:t>Graph</w:t>
            </w:r>
          </w:p>
        </w:tc>
        <w:tc>
          <w:tcPr>
            <w:tcW w:type="dxa" w:w="2880"/>
          </w:tcPr>
          <w:p>
            <w:r>
              <w:rPr>
                <w:sz w:val="18"/>
              </w:rPr>
              <w:t>nodes</w:t>
            </w:r>
          </w:p>
        </w:tc>
        <w:tc>
          <w:tcPr>
            <w:tcW w:type="dxa" w:w="2880"/>
          </w:tcPr>
          <w:p>
            <w:r>
              <w:rPr>
                <w:sz w:val="18"/>
              </w:rPr>
              <w:t>edges</w:t>
            </w:r>
          </w:p>
        </w:tc>
      </w:tr>
      <w:tr>
        <w:tc>
          <w:tcPr>
            <w:tcW w:type="dxa" w:w="2880"/>
          </w:tcPr>
          <w:p>
            <w:r>
              <w:rPr>
                <w:sz w:val="18"/>
              </w:rPr>
              <w:t>core MB subgraph</w:t>
            </w:r>
          </w:p>
        </w:tc>
        <w:tc>
          <w:tcPr>
            <w:tcW w:type="dxa" w:w="2880"/>
          </w:tcPr>
          <w:p>
            <w:r>
              <w:rPr>
                <w:sz w:val="18"/>
              </w:rPr>
              <w:t>379</w:t>
            </w:r>
          </w:p>
        </w:tc>
        <w:tc>
          <w:tcPr>
            <w:tcW w:type="dxa" w:w="2880"/>
          </w:tcPr>
          <w:p>
            <w:r>
              <w:rPr>
                <w:sz w:val="18"/>
              </w:rPr>
              <w:t>2137</w:t>
            </w:r>
          </w:p>
        </w:tc>
      </w:tr>
      <w:tr>
        <w:tc>
          <w:tcPr>
            <w:tcW w:type="dxa" w:w="2880"/>
          </w:tcPr>
          <w:p>
            <w:r>
              <w:rPr>
                <w:sz w:val="18"/>
              </w:rPr>
              <w:t>extended MB subgraph</w:t>
            </w:r>
          </w:p>
        </w:tc>
        <w:tc>
          <w:tcPr>
            <w:tcW w:type="dxa" w:w="2880"/>
          </w:tcPr>
          <w:p>
            <w:r>
              <w:rPr>
                <w:sz w:val="18"/>
              </w:rPr>
              <w:t>553</w:t>
            </w:r>
          </w:p>
        </w:tc>
        <w:tc>
          <w:tcPr>
            <w:tcW w:type="dxa" w:w="2880"/>
          </w:tcPr>
          <w:p>
            <w:r>
              <w:rPr>
                <w:sz w:val="18"/>
              </w:rPr>
              <w:t>3875</w:t>
            </w:r>
          </w:p>
        </w:tc>
      </w:tr>
      <w:tr>
        <w:tc>
          <w:tcPr>
            <w:tcW w:type="dxa" w:w="2880"/>
          </w:tcPr>
          <w:p>
            <w:r>
              <w:rPr>
                <w:sz w:val="18"/>
              </w:rPr>
              <w:t>active subgraph (core)</w:t>
            </w:r>
          </w:p>
        </w:tc>
        <w:tc>
          <w:tcPr>
            <w:tcW w:type="dxa" w:w="2880"/>
          </w:tcPr>
          <w:p>
            <w:r>
              <w:rPr>
                <w:sz w:val="18"/>
              </w:rPr>
              <w:t>80</w:t>
            </w:r>
          </w:p>
        </w:tc>
        <w:tc>
          <w:tcPr>
            <w:tcW w:type="dxa" w:w="2880"/>
          </w:tcPr>
          <w:p>
            <w:r>
              <w:rPr>
                <w:sz w:val="18"/>
              </w:rPr>
              <w:t>381</w:t>
            </w:r>
          </w:p>
        </w:tc>
      </w:tr>
      <w:tr>
        <w:tc>
          <w:tcPr>
            <w:tcW w:type="dxa" w:w="2880"/>
          </w:tcPr>
          <w:p>
            <w:r>
              <w:rPr>
                <w:sz w:val="18"/>
              </w:rPr>
              <w:t>active subgraph (extended)</w:t>
            </w:r>
          </w:p>
        </w:tc>
        <w:tc>
          <w:tcPr>
            <w:tcW w:type="dxa" w:w="2880"/>
          </w:tcPr>
          <w:p>
            <w:r>
              <w:rPr>
                <w:sz w:val="18"/>
              </w:rPr>
              <w:t>243</w:t>
            </w:r>
          </w:p>
        </w:tc>
        <w:tc>
          <w:tcPr>
            <w:tcW w:type="dxa" w:w="2880"/>
          </w:tcPr>
          <w:p>
            <w:r>
              <w:rPr>
                <w:sz w:val="18"/>
              </w:rPr>
              <w:t>1765</w:t>
            </w:r>
          </w:p>
        </w:tc>
      </w:tr>
    </w:tbl>
    <w:p/>
    <w:p>
      <w:r>
        <w:rPr>
          <w:b w:val="0"/>
          <w:i w:val="0"/>
        </w:rPr>
        <w:t>Extended-graph benchmark selection sizes: PN sources=10, MBON targets=5, MBON distractors=5.</w:t>
      </w:r>
    </w:p>
    <w:p>
      <w:pPr>
        <w:pStyle w:val="Heading3"/>
      </w:pPr>
      <w:r>
        <w:t>S2.3 Mouse cortical proxy (SBM)</w:t>
      </w:r>
    </w:p>
    <w:p>
      <w:r>
        <w:rPr>
          <w:b w:val="0"/>
          <w:i w:val="0"/>
        </w:rPr>
        <w:t>A stochastic block model with hierarchical feed-forward structure is used as a mouse cortical proxy to probe scalability and the permeability–selectivity trade-off.</w:t>
      </w:r>
    </w:p>
    <w:p>
      <w:pPr>
        <w:pStyle w:val="Heading2"/>
      </w:pPr>
      <w:r>
        <w:t>S3. Simulation protocol and default parameters</w:t>
      </w:r>
    </w:p>
    <w:p>
      <w:r>
        <w:rPr>
          <w:b w:val="0"/>
          <w:i w:val="0"/>
        </w:rPr>
        <w:t>Unless stated otherwise we use γ=1.0, η_sink=1.0, dt=0.05, T_end=10.0. Each condition is evaluated over multiple disorder draws and, where applicable, multiple surrogate graphs.</w:t>
      </w:r>
    </w:p>
    <w:p>
      <w:r>
        <w:rPr>
          <w:b/>
        </w:rPr>
        <w:t>Table S2. Key numerical parameters (Drosophila benchmark config).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sz w:val="16"/>
              </w:rPr>
              <w:t>parameter</w:t>
            </w:r>
          </w:p>
        </w:tc>
        <w:tc>
          <w:tcPr>
            <w:tcW w:type="dxa" w:w="4320"/>
          </w:tcPr>
          <w:p>
            <w:r>
              <w:rPr>
                <w:sz w:val="16"/>
              </w:rPr>
              <w:t>value</w:t>
            </w:r>
          </w:p>
        </w:tc>
      </w:tr>
      <w:tr>
        <w:tc>
          <w:tcPr>
            <w:tcW w:type="dxa" w:w="4320"/>
          </w:tcPr>
          <w:p>
            <w:r>
              <w:rPr>
                <w:sz w:val="16"/>
              </w:rPr>
              <w:t>gamma</w:t>
            </w:r>
          </w:p>
        </w:tc>
        <w:tc>
          <w:tcPr>
            <w:tcW w:type="dxa" w:w="4320"/>
          </w:tcPr>
          <w:p>
            <w:r>
              <w:rPr>
                <w:sz w:val="16"/>
              </w:rPr>
              <w:t>1.0</w:t>
            </w:r>
          </w:p>
        </w:tc>
      </w:tr>
      <w:tr>
        <w:tc>
          <w:tcPr>
            <w:tcW w:type="dxa" w:w="4320"/>
          </w:tcPr>
          <w:p>
            <w:r>
              <w:rPr>
                <w:sz w:val="16"/>
              </w:rPr>
              <w:t>eta_sink</w:t>
            </w:r>
          </w:p>
        </w:tc>
        <w:tc>
          <w:tcPr>
            <w:tcW w:type="dxa" w:w="4320"/>
          </w:tcPr>
          <w:p>
            <w:r>
              <w:rPr>
                <w:sz w:val="16"/>
              </w:rPr>
              <w:t>1.0</w:t>
            </w:r>
          </w:p>
        </w:tc>
      </w:tr>
      <w:tr>
        <w:tc>
          <w:tcPr>
            <w:tcW w:type="dxa" w:w="4320"/>
          </w:tcPr>
          <w:p>
            <w:r>
              <w:rPr>
                <w:sz w:val="16"/>
              </w:rPr>
              <w:t>dt</w:t>
            </w:r>
          </w:p>
        </w:tc>
        <w:tc>
          <w:tcPr>
            <w:tcW w:type="dxa" w:w="4320"/>
          </w:tcPr>
          <w:p>
            <w:r>
              <w:rPr>
                <w:sz w:val="16"/>
              </w:rPr>
              <w:t>0.05</w:t>
            </w:r>
          </w:p>
        </w:tc>
      </w:tr>
      <w:tr>
        <w:tc>
          <w:tcPr>
            <w:tcW w:type="dxa" w:w="4320"/>
          </w:tcPr>
          <w:p>
            <w:r>
              <w:rPr>
                <w:sz w:val="16"/>
              </w:rPr>
              <w:t>T_max/T_end</w:t>
            </w:r>
          </w:p>
        </w:tc>
        <w:tc>
          <w:tcPr>
            <w:tcW w:type="dxa" w:w="4320"/>
          </w:tcPr>
          <w:p>
            <w:r>
              <w:rPr>
                <w:sz w:val="16"/>
              </w:rPr>
              <w:t>10.0</w:t>
            </w:r>
          </w:p>
        </w:tc>
      </w:tr>
      <w:tr>
        <w:tc>
          <w:tcPr>
            <w:tcW w:type="dxa" w:w="4320"/>
          </w:tcPr>
          <w:p>
            <w:r>
              <w:rPr>
                <w:sz w:val="16"/>
              </w:rPr>
              <w:t>kappa_grid</w:t>
            </w:r>
          </w:p>
        </w:tc>
        <w:tc>
          <w:tcPr>
            <w:tcW w:type="dxa" w:w="4320"/>
          </w:tcPr>
          <w:p>
            <w:r>
              <w:rPr>
                <w:sz w:val="16"/>
              </w:rPr>
              <w:t>0.001, 0.003, 0.01, 0.03, 0.1, 0.3, 1.0, 3.0, 10.0</w:t>
            </w:r>
          </w:p>
        </w:tc>
      </w:tr>
    </w:tbl>
    <w:p/>
    <w:p>
      <w:pPr>
        <w:pStyle w:val="Heading2"/>
      </w:pPr>
      <w:r>
        <w:t>S4. Baselines and negative controls</w:t>
      </w:r>
    </w:p>
    <w:p>
      <w:r>
        <w:rPr>
          <w:b w:val="0"/>
          <w:i w:val="0"/>
        </w:rPr>
        <w:t>Baselines include a classical random walk (CRW) and a thermal random walk in the same energy landscape at T_env∈{0.1,1.0}. Negative controls include degree-preserving rewiring within edge types and partial lesions of KC→MBON projections.</w:t>
      </w:r>
    </w:p>
    <w:p>
      <w:pPr>
        <w:pStyle w:val="Heading2"/>
      </w:pPr>
      <w:r>
        <w:t>S5. Statistical analysis</w:t>
      </w:r>
    </w:p>
    <w:p>
      <w:r>
        <w:rPr>
          <w:b w:val="0"/>
          <w:i w:val="0"/>
        </w:rPr>
        <w:t>We report two-way ANOVA for main effects of architecture variant and disorder ε on Selectivity_end and coverage_end, and bootstrap confidence intervals for the DES effect Δ(ε=3−ε=0) within each architecture. Between-architecture comparisons bootstrap the difference in DES magnitudes.</w:t>
      </w:r>
    </w:p>
    <w:p>
      <w:r>
        <w:br w:type="page"/>
      </w:r>
    </w:p>
    <w:p>
      <w:pPr>
        <w:pStyle w:val="Heading1"/>
      </w:pPr>
      <w:r>
        <w:t>Supplementary Results</w:t>
      </w:r>
    </w:p>
    <w:p>
      <w:pPr>
        <w:pStyle w:val="Heading2"/>
      </w:pPr>
      <w:r>
        <w:t>S6. Universal DES across scales (conceptual figures)</w:t>
      </w:r>
    </w:p>
    <w:p>
      <w:r>
        <w:rPr>
          <w:b w:val="0"/>
          <w:i w:val="0"/>
        </w:rPr>
        <w:t>These figures are used in the main text to anchor the Two‑Factor Mechanism and the cross-scale DES claim.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943600" cy="3239262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wo-Factor_Mechanism_CRN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2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18"/>
        </w:rPr>
        <w:t>Supplementary Figure S1. Two‑Factor Mechanism schematic (Factor I: coherence proxy; Factor II: spectral topology).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943600" cy="3239262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niversal_architecture_from_nematode_to_mammal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2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18"/>
        </w:rPr>
        <w:t>Supplementary Figure S2. Universal hierarchical decision architecture schematic across scales (nematode → insect → mammal).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943600" cy="3239262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order-Enhanced_Selectivity_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2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18"/>
        </w:rPr>
        <w:t>Supplementary Figure S3. Disorder‑Enhanced Selectivity (DES) across three substrates (C. elegans, Drosophila, mouse proxy).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3317132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2B_Celegans_Pmax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1713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18"/>
        </w:rPr>
        <w:t>Supplementary Figure S4. C. elegans touch circuit: maximum target absorption P_max at T_env=1.0 and T_env=0.1 for the wave proxy vs thermal baseline.</w:t>
      </w:r>
    </w:p>
    <w:p/>
    <w:p>
      <w:pPr>
        <w:pStyle w:val="Heading2"/>
      </w:pPr>
      <w:r>
        <w:t>S7. Drosophila larva connectome benchmark (A7)</w:t>
      </w:r>
    </w:p>
    <w:p>
      <w:r>
        <w:rPr>
          <w:b w:val="0"/>
          <w:i w:val="0"/>
        </w:rPr>
        <w:t>Table S3 summarizes best-by-objective GKSL performance as a function of disorder ε, alongside CRW and thermal baselines. Note: for ε=5, the best-by-selectivity metric is undefined under the minimum-throughput filter used in the sweep.</w:t>
      </w:r>
    </w:p>
    <w:p>
      <w:r>
        <w:rPr>
          <w:b/>
        </w:rPr>
        <w:t>Table S3. A7 compact summary (Drosophila benchmark).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617"/>
        <w:gridCol w:w="617"/>
        <w:gridCol w:w="617"/>
        <w:gridCol w:w="617"/>
        <w:gridCol w:w="617"/>
        <w:gridCol w:w="617"/>
        <w:gridCol w:w="617"/>
        <w:gridCol w:w="617"/>
        <w:gridCol w:w="617"/>
        <w:gridCol w:w="617"/>
        <w:gridCol w:w="617"/>
        <w:gridCol w:w="617"/>
        <w:gridCol w:w="617"/>
        <w:gridCol w:w="617"/>
      </w:tblGrid>
      <w:tr>
        <w:tc>
          <w:tcPr>
            <w:tcW w:type="dxa" w:w="617"/>
          </w:tcPr>
          <w:p>
            <w:r>
              <w:rPr>
                <w:sz w:val="16"/>
              </w:rPr>
              <w:t>eps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k_sel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Sel_GKSL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cov_GKSL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PT_GKSL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PD_GKSL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k_IPC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IPC_GKSL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Sel_CRW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IPC_CRW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Sel_T0.1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IPC_T0.1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Sel_T1.0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IPC_T1.0</w:t>
            </w:r>
          </w:p>
        </w:tc>
      </w:tr>
      <w:tr>
        <w:tc>
          <w:tcPr>
            <w:tcW w:type="dxa" w:w="617"/>
          </w:tcPr>
          <w:p>
            <w:r>
              <w:rPr>
                <w:sz w:val="16"/>
              </w:rPr>
              <w:t>0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1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1.52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0.0122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0.007357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0.00484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1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0.1134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0.8783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-0.06352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0.8783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-0.06352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0.8783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-0.06352</w:t>
            </w:r>
          </w:p>
        </w:tc>
      </w:tr>
      <w:tr>
        <w:tc>
          <w:tcPr>
            <w:tcW w:type="dxa" w:w="617"/>
          </w:tcPr>
          <w:p>
            <w:r>
              <w:rPr>
                <w:sz w:val="16"/>
              </w:rPr>
              <w:t>1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1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1.558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0.009416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0.005736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0.00368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1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0.1058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0.8783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-0.06352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0.9071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-0.04691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0.9752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-0.0123</w:t>
            </w:r>
          </w:p>
        </w:tc>
      </w:tr>
      <w:tr>
        <w:tc>
          <w:tcPr>
            <w:tcW w:type="dxa" w:w="617"/>
          </w:tcPr>
          <w:p>
            <w:r>
              <w:rPr>
                <w:sz w:val="16"/>
              </w:rPr>
              <w:t>2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0.3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1.544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0.008445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0.005125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0.00332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1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0.1064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0.8783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-0.06352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1.274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0.1157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0.9368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-0.03187</w:t>
            </w:r>
          </w:p>
        </w:tc>
      </w:tr>
      <w:tr>
        <w:tc>
          <w:tcPr>
            <w:tcW w:type="dxa" w:w="617"/>
          </w:tcPr>
          <w:p>
            <w:r>
              <w:rPr>
                <w:sz w:val="16"/>
              </w:rPr>
              <w:t>3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0.001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2.224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0.007904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0.005452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0.002452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0.001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0.1676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0.8783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-0.06352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1.252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0.1066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1.037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0.01762</w:t>
            </w:r>
          </w:p>
        </w:tc>
      </w:tr>
      <w:tr>
        <w:tc>
          <w:tcPr>
            <w:tcW w:type="dxa" w:w="617"/>
          </w:tcPr>
          <w:p>
            <w:r>
              <w:rPr>
                <w:sz w:val="16"/>
              </w:rPr>
              <w:t>5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</w:r>
          </w:p>
        </w:tc>
        <w:tc>
          <w:tcPr>
            <w:tcW w:type="dxa" w:w="617"/>
          </w:tcPr>
          <w:p>
            <w:r>
              <w:rPr>
                <w:sz w:val="16"/>
              </w:rPr>
            </w:r>
          </w:p>
        </w:tc>
        <w:tc>
          <w:tcPr>
            <w:tcW w:type="dxa" w:w="617"/>
          </w:tcPr>
          <w:p>
            <w:r>
              <w:rPr>
                <w:sz w:val="16"/>
              </w:rPr>
            </w:r>
          </w:p>
        </w:tc>
        <w:tc>
          <w:tcPr>
            <w:tcW w:type="dxa" w:w="617"/>
          </w:tcPr>
          <w:p>
            <w:r>
              <w:rPr>
                <w:sz w:val="16"/>
              </w:rPr>
            </w:r>
          </w:p>
        </w:tc>
        <w:tc>
          <w:tcPr>
            <w:tcW w:type="dxa" w:w="617"/>
          </w:tcPr>
          <w:p>
            <w:r>
              <w:rPr>
                <w:sz w:val="16"/>
              </w:rPr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1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0.06066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0.8783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-0.06352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1.167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0.07357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0.983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-0.008244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1148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7_bestIPC_infopercost_vs_epsilon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18"/>
        </w:rPr>
        <w:t>Supplementary Figure S5. Best-by-InfoPerCost across disorder ε (A7).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1148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7_bestU_utility_vs_epsilon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18"/>
        </w:rPr>
        <w:t>Supplementary Figure S6. Best-by-Utility across disorder ε (A7).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1148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7_selectivity_vs_kappa_by_epsilon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18"/>
        </w:rPr>
        <w:t>Supplementary Figure S7. Selectivity_end vs κ for multiple ε (A7).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1148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7_coverage_vs_kappa_by_epsilon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18"/>
        </w:rPr>
        <w:t>Supplementary Figure S8. coverage_end vs κ for multiple ε (A7).</w:t>
      </w:r>
    </w:p>
    <w:p/>
    <w:p>
      <w:pPr>
        <w:pStyle w:val="Heading2"/>
      </w:pPr>
      <w:r>
        <w:t>S8. Localization diagnostics (A8.4)</w:t>
      </w:r>
    </w:p>
    <w:p>
      <w:r>
        <w:rPr>
          <w:b w:val="0"/>
          <w:i w:val="0"/>
        </w:rPr>
        <w:t>We report participation-ratio diagnostics and differential localization ΔPR = PR_target − PR_distractor.</w:t>
      </w:r>
    </w:p>
    <w:p>
      <w:r>
        <w:rPr>
          <w:b/>
        </w:rPr>
        <w:t>Table S4. Localization diagnostics by ε (κ=0.001).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080"/>
        <w:gridCol w:w="1080"/>
        <w:gridCol w:w="1080"/>
        <w:gridCol w:w="1080"/>
        <w:gridCol w:w="1080"/>
        <w:gridCol w:w="1080"/>
        <w:gridCol w:w="1080"/>
        <w:gridCol w:w="1080"/>
      </w:tblGrid>
      <w:tr>
        <w:tc>
          <w:tcPr>
            <w:tcW w:type="dxa" w:w="1080"/>
          </w:tcPr>
          <w:p>
            <w:r>
              <w:rPr>
                <w:sz w:val="16"/>
              </w:rPr>
              <w:t>epsilon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n_trials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Selectivity_end_mean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Selectivity_end_std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delta_PR_mean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delta_PR_std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ratio_PR_mean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ratio_PR_std</w:t>
            </w:r>
          </w:p>
        </w:tc>
      </w:tr>
      <w:tr>
        <w:tc>
          <w:tcPr>
            <w:tcW w:type="dxa" w:w="1080"/>
          </w:tcPr>
          <w:p>
            <w:r>
              <w:rPr>
                <w:sz w:val="16"/>
              </w:rPr>
              <w:t>0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10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1.175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-1.961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2.341e-16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0.6072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</w:t>
            </w:r>
          </w:p>
        </w:tc>
      </w:tr>
      <w:tr>
        <w:tc>
          <w:tcPr>
            <w:tcW w:type="dxa" w:w="1080"/>
          </w:tcPr>
          <w:p>
            <w:r>
              <w:rPr>
                <w:sz w:val="16"/>
              </w:rPr>
              <w:t>1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10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1.408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0.3943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-0.7682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1.175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0.7978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0.3145</w:t>
            </w:r>
          </w:p>
        </w:tc>
      </w:tr>
      <w:tr>
        <w:tc>
          <w:tcPr>
            <w:tcW w:type="dxa" w:w="1080"/>
          </w:tcPr>
          <w:p>
            <w:r>
              <w:rPr>
                <w:sz w:val="16"/>
              </w:rPr>
              <w:t>2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10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1.687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0.8646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-0.1843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0.5956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0.9599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0.1628</w:t>
            </w:r>
          </w:p>
        </w:tc>
      </w:tr>
      <w:tr>
        <w:tc>
          <w:tcPr>
            <w:tcW w:type="dxa" w:w="1080"/>
          </w:tcPr>
          <w:p>
            <w:r>
              <w:rPr>
                <w:sz w:val="16"/>
              </w:rPr>
              <w:t>3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10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3.524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4.945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-0.09162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1.232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1.054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0.4415</w:t>
            </w:r>
          </w:p>
        </w:tc>
      </w:tr>
      <w:tr>
        <w:tc>
          <w:tcPr>
            <w:tcW w:type="dxa" w:w="1080"/>
          </w:tcPr>
          <w:p>
            <w:r>
              <w:rPr>
                <w:sz w:val="16"/>
              </w:rPr>
              <w:t>5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10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1.361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1.249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0.05169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1.045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1.082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0.4161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1148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8_4_deltaPR_vs_epsilon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18"/>
        </w:rPr>
        <w:t>Supplementary Figure S9. ΔPR vs ε at κ=0.001 (A8.4).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1148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8_4_deltaPR_vs_selectivity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18"/>
        </w:rPr>
        <w:t>Supplementary Figure S10. Selectivity_end vs ΔPR scatter (A8.4).</w:t>
      </w:r>
    </w:p>
    <w:p/>
    <w:p>
      <w:pPr>
        <w:pStyle w:val="Heading2"/>
      </w:pPr>
      <w:r>
        <w:t>S9. Architecture dependence and negative controls (A8.5–A8.6)</w:t>
      </w:r>
    </w:p>
    <w:p>
      <w:r>
        <w:rPr>
          <w:b w:val="0"/>
          <w:i w:val="0"/>
        </w:rPr>
        <w:t>Two-way ANOVA and bootstrap tests quantify architecture × disorder effects and the DES peak dependency on topology.</w:t>
      </w:r>
    </w:p>
    <w:p>
      <w:r>
        <w:rPr>
          <w:b/>
        </w:rPr>
        <w:t>Table S5. Two-way ANOVA (κ=0.001).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rPr>
                <w:sz w:val="16"/>
              </w:rPr>
              <w:t>Metric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Effect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F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df1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df2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p_value</w:t>
            </w:r>
          </w:p>
        </w:tc>
      </w:tr>
      <w:tr>
        <w:tc>
          <w:tcPr>
            <w:tcW w:type="dxa" w:w="1440"/>
          </w:tcPr>
          <w:p>
            <w:r>
              <w:rPr>
                <w:sz w:val="16"/>
              </w:rPr>
              <w:t>Selectivity_end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VARIANT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44.7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2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4097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6.25e-20</w:t>
            </w:r>
          </w:p>
        </w:tc>
      </w:tr>
      <w:tr>
        <w:tc>
          <w:tcPr>
            <w:tcW w:type="dxa" w:w="1440"/>
          </w:tcPr>
          <w:p>
            <w:r>
              <w:rPr>
                <w:sz w:val="16"/>
              </w:rPr>
              <w:t>Selectivity_end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EPSILON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31.12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4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4095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1.45e-25</w:t>
            </w:r>
          </w:p>
        </w:tc>
      </w:tr>
      <w:tr>
        <w:tc>
          <w:tcPr>
            <w:tcW w:type="dxa" w:w="1440"/>
          </w:tcPr>
          <w:p>
            <w:r>
              <w:rPr>
                <w:sz w:val="16"/>
              </w:rPr>
              <w:t>Selectivity_end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ALL_CELLS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20.53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14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4085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4.16e-51</w:t>
            </w:r>
          </w:p>
        </w:tc>
      </w:tr>
      <w:tr>
        <w:tc>
          <w:tcPr>
            <w:tcW w:type="dxa" w:w="1440"/>
          </w:tcPr>
          <w:p>
            <w:r>
              <w:rPr>
                <w:sz w:val="16"/>
              </w:rPr>
              <w:t>coverage_end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VARIANT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14.33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2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4097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6.28e-07</w:t>
            </w:r>
          </w:p>
        </w:tc>
      </w:tr>
      <w:tr>
        <w:tc>
          <w:tcPr>
            <w:tcW w:type="dxa" w:w="1440"/>
          </w:tcPr>
          <w:p>
            <w:r>
              <w:rPr>
                <w:sz w:val="16"/>
              </w:rPr>
              <w:t>coverage_end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EPSILON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2907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4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4095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&lt;1e-300</w:t>
            </w:r>
          </w:p>
        </w:tc>
      </w:tr>
      <w:tr>
        <w:tc>
          <w:tcPr>
            <w:tcW w:type="dxa" w:w="1440"/>
          </w:tcPr>
          <w:p>
            <w:r>
              <w:rPr>
                <w:sz w:val="16"/>
              </w:rPr>
              <w:t>coverage_end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ALL_CELLS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932.4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14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4085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&lt;1e-300</w:t>
            </w:r>
          </w:p>
        </w:tc>
      </w:tr>
    </w:tbl>
    <w:p/>
    <w:p>
      <w:r>
        <w:rPr>
          <w:b/>
        </w:rPr>
        <w:t>Table S6. Bootstrap DES within variants (κ=0.001).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rPr>
                <w:sz w:val="16"/>
              </w:rPr>
              <w:t>variant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contrast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delta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CI_low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CI_high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significance</w:t>
            </w:r>
          </w:p>
        </w:tc>
      </w:tr>
      <w:tr>
        <w:tc>
          <w:tcPr>
            <w:tcW w:type="dxa" w:w="1440"/>
          </w:tcPr>
          <w:p>
            <w:r>
              <w:rPr>
                <w:sz w:val="16"/>
              </w:rPr>
              <w:t>lesion_KC_MBON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DES = Selectivity_end(ε=3) - Selectivity_end(ε=0)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1.102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0.83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1.398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significant</w:t>
            </w:r>
          </w:p>
        </w:tc>
      </w:tr>
      <w:tr>
        <w:tc>
          <w:tcPr>
            <w:tcW w:type="dxa" w:w="1440"/>
          </w:tcPr>
          <w:p>
            <w:r>
              <w:rPr>
                <w:sz w:val="16"/>
              </w:rPr>
              <w:t>lesion_KC_MBON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Selectivity_end(ε=3) - Selectivity_end(ε=5)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-0.502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-0.832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-0.188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significant</w:t>
            </w:r>
          </w:p>
        </w:tc>
      </w:tr>
      <w:tr>
        <w:tc>
          <w:tcPr>
            <w:tcW w:type="dxa" w:w="1440"/>
          </w:tcPr>
          <w:p>
            <w:r>
              <w:rPr>
                <w:sz w:val="16"/>
              </w:rPr>
              <w:t>original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DES = Selectivity_end(ε=3) - Selectivity_end(ε=0)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1.489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0.249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3.355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significant</w:t>
            </w:r>
          </w:p>
        </w:tc>
      </w:tr>
      <w:tr>
        <w:tc>
          <w:tcPr>
            <w:tcW w:type="dxa" w:w="1440"/>
          </w:tcPr>
          <w:p>
            <w:r>
              <w:rPr>
                <w:sz w:val="16"/>
              </w:rPr>
              <w:t>original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Selectivity_end(ε=3) - Selectivity_end(ε=5)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-0.898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-2.805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0.491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ns</w:t>
            </w:r>
          </w:p>
        </w:tc>
      </w:tr>
      <w:tr>
        <w:tc>
          <w:tcPr>
            <w:tcW w:type="dxa" w:w="1440"/>
          </w:tcPr>
          <w:p>
            <w:r>
              <w:rPr>
                <w:sz w:val="16"/>
              </w:rPr>
              <w:t>rewired_type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DES = Selectivity_end(ε=3) - Selectivity_end(ε=0)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0.162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0.056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0.274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significant</w:t>
            </w:r>
          </w:p>
        </w:tc>
      </w:tr>
      <w:tr>
        <w:tc>
          <w:tcPr>
            <w:tcW w:type="dxa" w:w="1440"/>
          </w:tcPr>
          <w:p>
            <w:r>
              <w:rPr>
                <w:sz w:val="16"/>
              </w:rPr>
              <w:t>rewired_type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Selectivity_end(ε=3) - Selectivity_end(ε=5)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0.436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0.21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0.672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significant</w:t>
            </w:r>
          </w:p>
        </w:tc>
      </w:tr>
    </w:tbl>
    <w:p/>
    <w:p>
      <w:r>
        <w:rPr>
          <w:b/>
        </w:rPr>
        <w:t>Table S7. Bootstrap DES between variants (κ=0.001).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rPr>
                <w:sz w:val="16"/>
              </w:rPr>
              <w:t>contrast</w:t>
            </w:r>
          </w:p>
        </w:tc>
        <w:tc>
          <w:tcPr>
            <w:tcW w:type="dxa" w:w="1728"/>
          </w:tcPr>
          <w:p>
            <w:r>
              <w:rPr>
                <w:sz w:val="16"/>
              </w:rPr>
              <w:t>delta</w:t>
            </w:r>
          </w:p>
        </w:tc>
        <w:tc>
          <w:tcPr>
            <w:tcW w:type="dxa" w:w="1728"/>
          </w:tcPr>
          <w:p>
            <w:r>
              <w:rPr>
                <w:sz w:val="16"/>
              </w:rPr>
              <w:t>CI_low</w:t>
            </w:r>
          </w:p>
        </w:tc>
        <w:tc>
          <w:tcPr>
            <w:tcW w:type="dxa" w:w="1728"/>
          </w:tcPr>
          <w:p>
            <w:r>
              <w:rPr>
                <w:sz w:val="16"/>
              </w:rPr>
              <w:t>CI_high</w:t>
            </w:r>
          </w:p>
        </w:tc>
        <w:tc>
          <w:tcPr>
            <w:tcW w:type="dxa" w:w="1728"/>
          </w:tcPr>
          <w:p>
            <w:r>
              <w:rPr>
                <w:sz w:val="16"/>
              </w:rPr>
              <w:t>significance</w:t>
            </w:r>
          </w:p>
        </w:tc>
      </w:tr>
      <w:tr>
        <w:tc>
          <w:tcPr>
            <w:tcW w:type="dxa" w:w="1728"/>
          </w:tcPr>
          <w:p>
            <w:r>
              <w:rPr>
                <w:sz w:val="16"/>
              </w:rPr>
              <w:t>DES(original) - DES(rewired_type)</w:t>
            </w:r>
          </w:p>
        </w:tc>
        <w:tc>
          <w:tcPr>
            <w:tcW w:type="dxa" w:w="1728"/>
          </w:tcPr>
          <w:p>
            <w:r>
              <w:rPr>
                <w:sz w:val="16"/>
              </w:rPr>
              <w:t>1.328</w:t>
            </w:r>
          </w:p>
        </w:tc>
        <w:tc>
          <w:tcPr>
            <w:tcW w:type="dxa" w:w="1728"/>
          </w:tcPr>
          <w:p>
            <w:r>
              <w:rPr>
                <w:sz w:val="16"/>
              </w:rPr>
              <w:t>0.069</w:t>
            </w:r>
          </w:p>
        </w:tc>
        <w:tc>
          <w:tcPr>
            <w:tcW w:type="dxa" w:w="1728"/>
          </w:tcPr>
          <w:p>
            <w:r>
              <w:rPr>
                <w:sz w:val="16"/>
              </w:rPr>
              <w:t>3.232</w:t>
            </w:r>
          </w:p>
        </w:tc>
        <w:tc>
          <w:tcPr>
            <w:tcW w:type="dxa" w:w="1728"/>
          </w:tcPr>
          <w:p>
            <w:r>
              <w:rPr>
                <w:sz w:val="16"/>
              </w:rPr>
              <w:t>p&lt;0.001</w:t>
            </w:r>
          </w:p>
        </w:tc>
      </w:tr>
      <w:tr>
        <w:tc>
          <w:tcPr>
            <w:tcW w:type="dxa" w:w="1728"/>
          </w:tcPr>
          <w:p>
            <w:r>
              <w:rPr>
                <w:sz w:val="16"/>
              </w:rPr>
              <w:t>DES(original) - DES(lesion_KC_MBON)</w:t>
            </w:r>
          </w:p>
        </w:tc>
        <w:tc>
          <w:tcPr>
            <w:tcW w:type="dxa" w:w="1728"/>
          </w:tcPr>
          <w:p>
            <w:r>
              <w:rPr>
                <w:sz w:val="16"/>
              </w:rPr>
              <w:t>0.383</w:t>
            </w:r>
          </w:p>
        </w:tc>
        <w:tc>
          <w:tcPr>
            <w:tcW w:type="dxa" w:w="1728"/>
          </w:tcPr>
          <w:p>
            <w:r>
              <w:rPr>
                <w:sz w:val="16"/>
              </w:rPr>
              <w:t>-0.902</w:t>
            </w:r>
          </w:p>
        </w:tc>
        <w:tc>
          <w:tcPr>
            <w:tcW w:type="dxa" w:w="1728"/>
          </w:tcPr>
          <w:p>
            <w:r>
              <w:rPr>
                <w:sz w:val="16"/>
              </w:rPr>
              <w:t>2.261</w:t>
            </w:r>
          </w:p>
        </w:tc>
        <w:tc>
          <w:tcPr>
            <w:tcW w:type="dxa" w:w="1728"/>
          </w:tcPr>
          <w:p>
            <w:r>
              <w:rPr>
                <w:sz w:val="16"/>
              </w:rPr>
              <w:t>ns</w:t>
            </w:r>
          </w:p>
        </w:tc>
      </w:tr>
      <w:tr>
        <w:tc>
          <w:tcPr>
            <w:tcW w:type="dxa" w:w="1728"/>
          </w:tcPr>
          <w:p>
            <w:r>
              <w:rPr>
                <w:sz w:val="16"/>
              </w:rPr>
              <w:t>DES(lesion_KC_MBON) - DES(rewired_type)</w:t>
            </w:r>
          </w:p>
        </w:tc>
        <w:tc>
          <w:tcPr>
            <w:tcW w:type="dxa" w:w="1728"/>
          </w:tcPr>
          <w:p>
            <w:r>
              <w:rPr>
                <w:sz w:val="16"/>
              </w:rPr>
              <w:t>0.938</w:t>
            </w:r>
          </w:p>
        </w:tc>
        <w:tc>
          <w:tcPr>
            <w:tcW w:type="dxa" w:w="1728"/>
          </w:tcPr>
          <w:p>
            <w:r>
              <w:rPr>
                <w:sz w:val="16"/>
              </w:rPr>
              <w:t>0.646</w:t>
            </w:r>
          </w:p>
        </w:tc>
        <w:tc>
          <w:tcPr>
            <w:tcW w:type="dxa" w:w="1728"/>
          </w:tcPr>
          <w:p>
            <w:r>
              <w:rPr>
                <w:sz w:val="16"/>
              </w:rPr>
              <w:t>1.254</w:t>
            </w:r>
          </w:p>
        </w:tc>
        <w:tc>
          <w:tcPr>
            <w:tcW w:type="dxa" w:w="1728"/>
          </w:tcPr>
          <w:p>
            <w:r>
              <w:rPr>
                <w:sz w:val="16"/>
              </w:rPr>
              <w:t>p&lt;0.001</w:t>
            </w:r>
          </w:p>
        </w:tc>
      </w:tr>
    </w:tbl>
    <w:p/>
    <w:p>
      <w:r>
        <w:rPr>
          <w:b/>
        </w:rPr>
        <w:t>Table S8. Architecture dependence metrics (κ=0.001).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080"/>
        <w:gridCol w:w="1080"/>
        <w:gridCol w:w="1080"/>
        <w:gridCol w:w="1080"/>
        <w:gridCol w:w="1080"/>
        <w:gridCol w:w="1080"/>
        <w:gridCol w:w="1080"/>
        <w:gridCol w:w="1080"/>
      </w:tblGrid>
      <w:tr>
        <w:tc>
          <w:tcPr>
            <w:tcW w:type="dxa" w:w="1080"/>
          </w:tcPr>
          <w:p>
            <w:r>
              <w:rPr>
                <w:sz w:val="16"/>
              </w:rPr>
              <w:t>variant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epsilon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n_runs_total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mean_P_sink_T_end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mean_P_sink_D_end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Selectivity_end_mean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Selectivity_ratioOfMeans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coverage_end_mean</w:t>
            </w:r>
          </w:p>
        </w:tc>
      </w:tr>
      <w:tr>
        <w:tc>
          <w:tcPr>
            <w:tcW w:type="dxa" w:w="1080"/>
          </w:tcPr>
          <w:p>
            <w:r>
              <w:rPr>
                <w:sz w:val="16"/>
              </w:rPr>
              <w:t>lesion_KC_MBON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400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0.01647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0.01396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1.194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1.18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0.03042</w:t>
            </w:r>
          </w:p>
        </w:tc>
      </w:tr>
      <w:tr>
        <w:tc>
          <w:tcPr>
            <w:tcW w:type="dxa" w:w="1080"/>
          </w:tcPr>
          <w:p>
            <w:r>
              <w:rPr>
                <w:sz w:val="16"/>
              </w:rPr>
              <w:t>lesion_KC_MBON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400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0.009295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0.007022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1.454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1.324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0.01632</w:t>
            </w:r>
          </w:p>
        </w:tc>
      </w:tr>
      <w:tr>
        <w:tc>
          <w:tcPr>
            <w:tcW w:type="dxa" w:w="1080"/>
          </w:tcPr>
          <w:p>
            <w:r>
              <w:rPr>
                <w:sz w:val="16"/>
              </w:rPr>
              <w:t>lesion_KC_MBON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2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400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0.007125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0.004964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1.702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1.435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0.01209</w:t>
            </w:r>
          </w:p>
        </w:tc>
      </w:tr>
      <w:tr>
        <w:tc>
          <w:tcPr>
            <w:tcW w:type="dxa" w:w="1080"/>
          </w:tcPr>
          <w:p>
            <w:r>
              <w:rPr>
                <w:sz w:val="16"/>
              </w:rPr>
              <w:t>lesion_KC_MBON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3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400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0.006401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0.003987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2.296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1.605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0.01039</w:t>
            </w:r>
          </w:p>
        </w:tc>
      </w:tr>
      <w:tr>
        <w:tc>
          <w:tcPr>
            <w:tcW w:type="dxa" w:w="1080"/>
          </w:tcPr>
          <w:p>
            <w:r>
              <w:rPr>
                <w:sz w:val="16"/>
              </w:rPr>
              <w:t>lesion_KC_MBON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5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400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0.002816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0.002368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1.795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1.189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0.005184</w:t>
            </w:r>
          </w:p>
        </w:tc>
      </w:tr>
      <w:tr>
        <w:tc>
          <w:tcPr>
            <w:tcW w:type="dxa" w:w="1080"/>
          </w:tcPr>
          <w:p>
            <w:r>
              <w:rPr>
                <w:sz w:val="16"/>
              </w:rPr>
              <w:t>original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20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0.01319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0.01122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1.175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1.175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0.02441</w:t>
            </w:r>
          </w:p>
        </w:tc>
      </w:tr>
      <w:tr>
        <w:tc>
          <w:tcPr>
            <w:tcW w:type="dxa" w:w="1080"/>
          </w:tcPr>
          <w:p>
            <w:r>
              <w:rPr>
                <w:sz w:val="16"/>
              </w:rPr>
              <w:t>original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20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0.006436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0.005012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1.362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1.284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0.01145</w:t>
            </w:r>
          </w:p>
        </w:tc>
      </w:tr>
      <w:tr>
        <w:tc>
          <w:tcPr>
            <w:tcW w:type="dxa" w:w="1080"/>
          </w:tcPr>
          <w:p>
            <w:r>
              <w:rPr>
                <w:sz w:val="16"/>
              </w:rPr>
              <w:t>original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2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20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0.00472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0.003596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1.569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1.312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0.008316</w:t>
            </w:r>
          </w:p>
        </w:tc>
      </w:tr>
      <w:tr>
        <w:tc>
          <w:tcPr>
            <w:tcW w:type="dxa" w:w="1080"/>
          </w:tcPr>
          <w:p>
            <w:r>
              <w:rPr>
                <w:sz w:val="16"/>
              </w:rPr>
              <w:t>original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3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20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0.004564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0.002589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2.662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1.763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0.007153</w:t>
            </w:r>
          </w:p>
        </w:tc>
      </w:tr>
      <w:tr>
        <w:tc>
          <w:tcPr>
            <w:tcW w:type="dxa" w:w="1080"/>
          </w:tcPr>
          <w:p>
            <w:r>
              <w:rPr>
                <w:sz w:val="16"/>
              </w:rPr>
              <w:t>original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5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20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0.002089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0.00156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1.762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1.339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0.003649</w:t>
            </w:r>
          </w:p>
        </w:tc>
      </w:tr>
      <w:tr>
        <w:tc>
          <w:tcPr>
            <w:tcW w:type="dxa" w:w="1080"/>
          </w:tcPr>
          <w:p>
            <w:r>
              <w:rPr>
                <w:sz w:val="16"/>
              </w:rPr>
              <w:t>rewired_type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400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0.0126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0.01254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1.062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1.005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0.02515</w:t>
            </w:r>
          </w:p>
        </w:tc>
      </w:tr>
      <w:tr>
        <w:tc>
          <w:tcPr>
            <w:tcW w:type="dxa" w:w="1080"/>
          </w:tcPr>
          <w:p>
            <w:r>
              <w:rPr>
                <w:sz w:val="16"/>
              </w:rPr>
              <w:t>rewired_type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400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0.008359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0.008874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1.113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0.9419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0.01723</w:t>
            </w:r>
          </w:p>
        </w:tc>
      </w:tr>
      <w:tr>
        <w:tc>
          <w:tcPr>
            <w:tcW w:type="dxa" w:w="1080"/>
          </w:tcPr>
          <w:p>
            <w:r>
              <w:rPr>
                <w:sz w:val="16"/>
              </w:rPr>
              <w:t>rewired_type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2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400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0.006022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0.006077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1.255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0.991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0.0121</w:t>
            </w:r>
          </w:p>
        </w:tc>
      </w:tr>
      <w:tr>
        <w:tc>
          <w:tcPr>
            <w:tcW w:type="dxa" w:w="1080"/>
          </w:tcPr>
          <w:p>
            <w:r>
              <w:rPr>
                <w:sz w:val="16"/>
              </w:rPr>
              <w:t>rewired_type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3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400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0.004412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0.004895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1.225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0.9014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0.009307</w:t>
            </w:r>
          </w:p>
        </w:tc>
      </w:tr>
      <w:tr>
        <w:tc>
          <w:tcPr>
            <w:tcW w:type="dxa" w:w="1080"/>
          </w:tcPr>
          <w:p>
            <w:r>
              <w:rPr>
                <w:sz w:val="16"/>
              </w:rPr>
              <w:t>rewired_type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5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400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0.002553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0.002638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1.659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0.9681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0.005191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1148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8_6_Selectivity_ratioOfMeans_vs_epsilon_kappa0p001ppn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18"/>
        </w:rPr>
        <w:t>Supplementary Figure S11. Selectivity ratio-of-means vs ε at κ=0.001 (A8.6).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1148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8_6_goodrun_prob_vs_epsilon_kappa0p001ppng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18"/>
        </w:rPr>
        <w:t>Supplementary Figure S12. P_good vs ε at κ=0.001 (θ=2.0, pT_min=0.005).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1148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8_6_coverage_end_vs_epsilon_kappa0p001ppng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18"/>
        </w:rPr>
        <w:t>Supplementary Figure S13. coverage_end vs ε at κ=0.001 (A8.6).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1148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8_6_Selectivity_ratioOfMeans_vs_epsilon_kappa1p0ppng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18"/>
        </w:rPr>
        <w:t>Supplementary Figure S14. Selectivity ratio-of-means vs ε at κ=1.0 (A8.6).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1148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8_6_goodrun_prob_vs_epsilon_kappa1p0ppng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18"/>
        </w:rPr>
        <w:t>Supplementary Figure S15. P_good vs ε at κ=1.0 (θ=2.0, pT_min=0.005).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1148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8_6_coverage_end_vs_epsilon_kappa1p0ppng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18"/>
        </w:rPr>
        <w:t>Supplementary Figure S16. coverage_end vs ε at κ=1.0 (A8.6).</w:t>
      </w:r>
    </w:p>
    <w:p/>
    <w:p>
      <w:pPr>
        <w:pStyle w:val="Heading2"/>
      </w:pPr>
      <w:r>
        <w:t>S10. Mouse cortical proxy: energy–selectivity trade-off (Steps 2–5)</w:t>
      </w:r>
    </w:p>
    <w:p>
      <w:r>
        <w:rPr>
          <w:b w:val="0"/>
          <w:i w:val="0"/>
        </w:rPr>
        <w:t>Summary tables from Steps 2–3 are reproduced below; an additional phase diagram is shown in Figures S17–S18.</w:t>
      </w:r>
    </w:p>
    <w:p>
      <w:r>
        <w:rPr>
          <w:b/>
        </w:rPr>
        <w:t>Table S9. Cortex proxy transport summary (Step2).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960"/>
        <w:gridCol w:w="960"/>
        <w:gridCol w:w="960"/>
        <w:gridCol w:w="960"/>
        <w:gridCol w:w="960"/>
        <w:gridCol w:w="960"/>
        <w:gridCol w:w="960"/>
        <w:gridCol w:w="960"/>
        <w:gridCol w:w="960"/>
      </w:tblGrid>
      <w:tr>
        <w:tc>
          <w:tcPr>
            <w:tcW w:type="dxa" w:w="960"/>
          </w:tcPr>
          <w:p>
            <w:r>
              <w:rPr>
                <w:sz w:val="18"/>
              </w:rPr>
              <w:t>T_env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n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recall_mean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recall_std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recall_ci95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leakage_mean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leakage_std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leakage_ci95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selectivity_ratio_of_means</w:t>
            </w:r>
          </w:p>
        </w:tc>
      </w:tr>
      <w:tr>
        <w:tc>
          <w:tcPr>
            <w:tcW w:type="dxa" w:w="960"/>
          </w:tcPr>
          <w:p>
            <w:r>
              <w:rPr>
                <w:sz w:val="18"/>
              </w:rPr>
              <w:t>0.1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100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0.4797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0.2356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0.04619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0.3998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0.2139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0.04193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1.2</w:t>
            </w:r>
          </w:p>
        </w:tc>
      </w:tr>
      <w:tr>
        <w:tc>
          <w:tcPr>
            <w:tcW w:type="dxa" w:w="960"/>
          </w:tcPr>
          <w:p>
            <w:r>
              <w:rPr>
                <w:sz w:val="18"/>
              </w:rPr>
              <w:t>1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100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0.2751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0.05368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0.01052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0.6574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0.05673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0.01112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0.4185</w:t>
            </w:r>
          </w:p>
        </w:tc>
      </w:tr>
      <w:tr>
        <w:tc>
          <w:tcPr>
            <w:tcW w:type="dxa" w:w="960"/>
          </w:tcPr>
          <w:p>
            <w:r>
              <w:rPr>
                <w:sz w:val="18"/>
              </w:rPr>
              <w:t>inf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100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0.2667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4.898e-15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9.6e-16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0.6667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1.223e-14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2.398e-15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0.4</w:t>
            </w:r>
          </w:p>
        </w:tc>
      </w:tr>
    </w:tbl>
    <w:p/>
    <w:p>
      <w:r>
        <w:rPr>
          <w:b/>
        </w:rPr>
        <w:t>Table S10. Cortex proxy memory summary (Step3).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960"/>
        <w:gridCol w:w="960"/>
        <w:gridCol w:w="960"/>
        <w:gridCol w:w="960"/>
        <w:gridCol w:w="960"/>
        <w:gridCol w:w="960"/>
        <w:gridCol w:w="960"/>
        <w:gridCol w:w="960"/>
        <w:gridCol w:w="960"/>
      </w:tblGrid>
      <w:tr>
        <w:tc>
          <w:tcPr>
            <w:tcW w:type="dxa" w:w="960"/>
          </w:tcPr>
          <w:p>
            <w:r>
              <w:rPr>
                <w:sz w:val="18"/>
              </w:rPr>
              <w:t>T_env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n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recall_mean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recall_ci95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leakage_mean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leakage_ci95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selectivity_ratio_of_means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recall_frac_mean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recall_minus_leakage_mean</w:t>
            </w:r>
          </w:p>
        </w:tc>
      </w:tr>
      <w:tr>
        <w:tc>
          <w:tcPr>
            <w:tcW w:type="dxa" w:w="960"/>
          </w:tcPr>
          <w:p>
            <w:r>
              <w:rPr>
                <w:sz w:val="18"/>
              </w:rPr>
              <w:t>0.01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20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0.5674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0.08386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0.2754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0.06837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2.06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0.6787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0.292</w:t>
            </w:r>
          </w:p>
        </w:tc>
      </w:tr>
      <w:tr>
        <w:tc>
          <w:tcPr>
            <w:tcW w:type="dxa" w:w="960"/>
          </w:tcPr>
          <w:p>
            <w:r>
              <w:rPr>
                <w:sz w:val="18"/>
              </w:rPr>
              <w:t>0.05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20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0.5644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0.09484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0.2898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0.07687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1.947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0.6597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0.2746</w:t>
            </w:r>
          </w:p>
        </w:tc>
      </w:tr>
      <w:tr>
        <w:tc>
          <w:tcPr>
            <w:tcW w:type="dxa" w:w="960"/>
          </w:tcPr>
          <w:p>
            <w:r>
              <w:rPr>
                <w:sz w:val="18"/>
              </w:rPr>
              <w:t>0.1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20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0.4742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0.08977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0.4089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0.09207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1.16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0.543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0.06529</w:t>
            </w:r>
          </w:p>
        </w:tc>
      </w:tr>
      <w:tr>
        <w:tc>
          <w:tcPr>
            <w:tcW w:type="dxa" w:w="960"/>
          </w:tcPr>
          <w:p>
            <w:r>
              <w:rPr>
                <w:sz w:val="18"/>
              </w:rPr>
              <w:t>0.2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20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0.3221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0.05987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0.5979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0.07434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0.5387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0.3554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-0.2758</w:t>
            </w:r>
          </w:p>
        </w:tc>
      </w:tr>
      <w:tr>
        <w:tc>
          <w:tcPr>
            <w:tcW w:type="dxa" w:w="960"/>
          </w:tcPr>
          <w:p>
            <w:r>
              <w:rPr>
                <w:sz w:val="18"/>
              </w:rPr>
              <w:t>0.5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20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0.2721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0.02415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0.6583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0.02757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0.4133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0.2925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-0.3862</w:t>
            </w:r>
          </w:p>
        </w:tc>
      </w:tr>
      <w:tr>
        <w:tc>
          <w:tcPr>
            <w:tcW w:type="dxa" w:w="960"/>
          </w:tcPr>
          <w:p>
            <w:r>
              <w:rPr>
                <w:sz w:val="18"/>
              </w:rPr>
              <w:t>1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20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0.274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0.01684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0.6546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0.01968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0.4186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0.2952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-0.3806</w:t>
            </w:r>
          </w:p>
        </w:tc>
      </w:tr>
      <w:tr>
        <w:tc>
          <w:tcPr>
            <w:tcW w:type="dxa" w:w="960"/>
          </w:tcPr>
          <w:p>
            <w:r>
              <w:rPr>
                <w:sz w:val="18"/>
              </w:rPr>
              <w:t>2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20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0.2708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0.009924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0.6589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0.01226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0.4109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0.2913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-0.3881</w:t>
            </w:r>
          </w:p>
        </w:tc>
      </w:tr>
      <w:tr>
        <w:tc>
          <w:tcPr>
            <w:tcW w:type="dxa" w:w="960"/>
          </w:tcPr>
          <w:p>
            <w:r>
              <w:rPr>
                <w:sz w:val="18"/>
              </w:rPr>
              <w:t>5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20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0.2678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0.004121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0.6638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0.005326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0.4035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0.2875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-0.3959</w:t>
            </w:r>
          </w:p>
        </w:tc>
      </w:tr>
      <w:tr>
        <w:tc>
          <w:tcPr>
            <w:tcW w:type="dxa" w:w="960"/>
          </w:tcPr>
          <w:p>
            <w:r>
              <w:rPr>
                <w:sz w:val="18"/>
              </w:rPr>
              <w:t>10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20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0.2671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0.002057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0.6653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0.002695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0.4014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0.2865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-0.3982</w:t>
            </w:r>
          </w:p>
        </w:tc>
      </w:tr>
      <w:tr>
        <w:tc>
          <w:tcPr>
            <w:tcW w:type="dxa" w:w="960"/>
          </w:tcPr>
          <w:p>
            <w:r>
              <w:rPr>
                <w:sz w:val="18"/>
              </w:rPr>
              <w:t>inf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20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0.2667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1.849e-15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0.6667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4.622e-15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0.4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0.2857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-0.4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6576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rtex_transport_selectivity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18"/>
        </w:rPr>
        <w:t>Supplementary Figure S17. Selectivity vs T_env (Step2).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29184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hase_diagram_consensus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18"/>
        </w:rPr>
        <w:t>Supplementary Figure S18. Consensus phase diagram in (κ, Δ) space (Step5 robustness audit).</w:t>
      </w:r>
    </w:p>
    <w:p/>
    <w:p>
      <w:r>
        <w:br w:type="page"/>
      </w:r>
    </w:p>
    <w:p>
      <w:pPr>
        <w:pStyle w:val="Heading1"/>
      </w:pPr>
      <w:r>
        <w:t>Supplementary References</w:t>
      </w:r>
    </w:p>
    <w:p>
      <w:r>
        <w:t>1. Anderson, P. W. (1958). Absence of diffusion in certain random lattices. Physical Review, 109(5), 1492–1505.</w:t>
      </w:r>
    </w:p>
    <w:p>
      <w:r>
        <w:t>2. Lindblad, G. (1976). On the generators of quantum dynamical semigroups. Communications in Mathematical Physics, 48, 119–130.</w:t>
      </w:r>
    </w:p>
    <w:p>
      <w:r>
        <w:t>3. Gorini, V., Kossakowski, A., &amp; Sudarshan, E. C. G. (1976). Completely positive dynamical semigroups of N-level systems. Journal of Mathematical Physics, 17(5), 821–825.</w:t>
      </w:r>
    </w:p>
    <w:p>
      <w:r>
        <w:t>4. Landauer, R. (1961). Irreversibility and heat generation in the computing process. IBM Journal of Research and Development, 5(3), 183–191.</w:t>
      </w:r>
    </w:p>
    <w:p>
      <w:r>
        <w:t>5. Lennie, P. (2003). The cost of cortical computation. Current Biology, 13(6), 493–497.</w:t>
      </w:r>
    </w:p>
    <w:p>
      <w:r>
        <w:t>6. Friston, K. (2010). The free-energy principle: a unified brain theory? Nature Reviews Neuroscience, 11, 127–138.</w:t>
      </w:r>
    </w:p>
    <w:p>
      <w:r>
        <w:t>7. Hopfield, J. J. (1982). Neural networks and physical systems with emergent collective computational abilities. PNAS, 79(8), 2554–2558.</w:t>
      </w:r>
    </w:p>
    <w:p>
      <w:r>
        <w:t>8. Plenio, M. B., &amp; Huelga, S. F. (2008). Dephasing-assisted transport: quantum networks and biomolecules. New Journal of Physics, 10, 113019.</w:t>
      </w:r>
    </w:p>
    <w:p>
      <w:r>
        <w:t>9. Varshney, L. R., Chen, B. L., Paniagua, E., Hall, D. H., &amp; Chklovskii, D. B. (2011). Structural properties of the Caenorhabditis elegans neuronal network. PLoS Computational Biology, 7(2), e1001066.</w:t>
      </w:r>
    </w:p>
    <w:p>
      <w:r>
        <w:t>10. Winding, M. et al. (2023). The connectome of an insect brain. Science, 379, eadd9330.</w:t>
      </w:r>
    </w:p>
    <w:p>
      <w:r>
        <w:t>11. Yerkes, R. M., &amp; Dodson, J. D. (1908). The relation of strength of stimulus to rapidity of habit-formation. Journal of Comparative Neurology and Psychology, 18, 459–482.</w:t>
      </w:r>
    </w:p>
    <w:p>
      <w:r>
        <w:t>12. Anokhin, K. (2021). Cognitome concept and engram network perspective.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Calibri" w:hAnsi="Calibri" w:eastAsia="Calibri"/>
      <w:sz w:val="2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